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1DCE" w14:textId="3657ECBC" w:rsidR="005A6D32" w:rsidRPr="00F57E55" w:rsidRDefault="003C69FE" w:rsidP="00F57E55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Instructions</w:t>
      </w:r>
      <w:r w:rsidR="00217D59" w:rsidRPr="00F57E55">
        <w:rPr>
          <w:rFonts w:ascii="Cambria" w:hAnsi="Cambria"/>
          <w:b/>
          <w:sz w:val="24"/>
        </w:rPr>
        <w:t xml:space="preserve"> pour les professeurs de clinique</w:t>
      </w:r>
    </w:p>
    <w:p w14:paraId="731BD72F" w14:textId="0FDB7EB9" w:rsidR="00F10FF7" w:rsidRDefault="00F57E55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  <w:bookmarkStart w:id="0" w:name="_Hlk138931026"/>
      <w:r w:rsidRPr="00F57E55">
        <w:rPr>
          <w:rStyle w:val="lev"/>
          <w:rFonts w:ascii="Cambria" w:hAnsi="Cambria" w:cs="Arial"/>
          <w:b w:val="0"/>
        </w:rPr>
        <w:t>La nouvelle grille pour l’évaluation des internes a été conçue selon un modèle développemental</w:t>
      </w:r>
      <w:r w:rsidR="0021602E">
        <w:rPr>
          <w:rStyle w:val="lev"/>
          <w:rFonts w:ascii="Cambria" w:hAnsi="Cambria" w:cs="Arial"/>
          <w:b w:val="0"/>
        </w:rPr>
        <w:t xml:space="preserve">, axé sur </w:t>
      </w:r>
      <w:r w:rsidR="00C658C5">
        <w:rPr>
          <w:rStyle w:val="lev"/>
          <w:rFonts w:ascii="Cambria" w:hAnsi="Cambria" w:cs="Arial"/>
          <w:b w:val="0"/>
        </w:rPr>
        <w:t>le développement des</w:t>
      </w:r>
      <w:r w:rsidR="0021602E">
        <w:rPr>
          <w:rStyle w:val="lev"/>
          <w:rFonts w:ascii="Cambria" w:hAnsi="Cambria" w:cs="Arial"/>
          <w:b w:val="0"/>
        </w:rPr>
        <w:t xml:space="preserve"> compétences liées à la profession</w:t>
      </w:r>
      <w:r w:rsidRPr="00F57E55">
        <w:rPr>
          <w:rStyle w:val="lev"/>
          <w:rFonts w:ascii="Cambria" w:hAnsi="Cambria" w:cs="Arial"/>
          <w:b w:val="0"/>
        </w:rPr>
        <w:t xml:space="preserve">. </w:t>
      </w:r>
      <w:r>
        <w:rPr>
          <w:rStyle w:val="lev"/>
          <w:rFonts w:ascii="Cambria" w:hAnsi="Cambria" w:cs="Arial"/>
          <w:b w:val="0"/>
        </w:rPr>
        <w:t>Cela implique un changement considérable dans la façon d’appréhender l’évaluation</w:t>
      </w:r>
      <w:r w:rsidR="0021602E">
        <w:rPr>
          <w:rStyle w:val="lev"/>
          <w:rFonts w:ascii="Cambria" w:hAnsi="Cambria" w:cs="Arial"/>
          <w:b w:val="0"/>
        </w:rPr>
        <w:t xml:space="preserve">, qui se </w:t>
      </w:r>
      <w:r w:rsidR="00C658C5">
        <w:rPr>
          <w:rStyle w:val="lev"/>
          <w:rFonts w:ascii="Cambria" w:hAnsi="Cambria" w:cs="Arial"/>
          <w:b w:val="0"/>
        </w:rPr>
        <w:t>déroule</w:t>
      </w:r>
      <w:r w:rsidR="00653AA4">
        <w:rPr>
          <w:rStyle w:val="lev"/>
          <w:rFonts w:ascii="Cambria" w:hAnsi="Cambria" w:cs="Arial"/>
          <w:b w:val="0"/>
        </w:rPr>
        <w:t xml:space="preserve"> en 2 temps : </w:t>
      </w:r>
    </w:p>
    <w:bookmarkEnd w:id="0"/>
    <w:p w14:paraId="0512F435" w14:textId="77777777" w:rsidR="00653AA4" w:rsidRDefault="00653AA4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2AE2640D" w14:textId="58B96C9E" w:rsidR="00653AA4" w:rsidRDefault="00653AA4" w:rsidP="00653AA4">
      <w:pPr>
        <w:pStyle w:val="Sansinterligne"/>
        <w:numPr>
          <w:ilvl w:val="0"/>
          <w:numId w:val="3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>
        <w:rPr>
          <w:rStyle w:val="lev"/>
          <w:rFonts w:ascii="Cambria" w:hAnsi="Cambria" w:cs="Arial"/>
          <w:b w:val="0"/>
        </w:rPr>
        <w:t>Détermination du niveau de développement de chacune des compétences;</w:t>
      </w:r>
    </w:p>
    <w:p w14:paraId="79128E33" w14:textId="582455A9" w:rsidR="00653AA4" w:rsidRDefault="00653AA4" w:rsidP="00653AA4">
      <w:pPr>
        <w:pStyle w:val="Sansinterligne"/>
        <w:numPr>
          <w:ilvl w:val="0"/>
          <w:numId w:val="3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bookmarkStart w:id="1" w:name="_Hlk138929375"/>
      <w:r>
        <w:rPr>
          <w:rStyle w:val="lev"/>
          <w:rFonts w:ascii="Cambria" w:hAnsi="Cambria" w:cs="Arial"/>
          <w:b w:val="0"/>
        </w:rPr>
        <w:t xml:space="preserve">Attribution de la </w:t>
      </w:r>
      <w:r w:rsidR="0027541A">
        <w:rPr>
          <w:rStyle w:val="lev"/>
          <w:rFonts w:ascii="Cambria" w:hAnsi="Cambria" w:cs="Arial"/>
          <w:b w:val="0"/>
        </w:rPr>
        <w:t>Cote</w:t>
      </w:r>
      <w:r>
        <w:rPr>
          <w:rStyle w:val="lev"/>
          <w:rFonts w:ascii="Cambria" w:hAnsi="Cambria" w:cs="Arial"/>
          <w:b w:val="0"/>
        </w:rPr>
        <w:t xml:space="preserve">. </w:t>
      </w:r>
    </w:p>
    <w:bookmarkEnd w:id="1"/>
    <w:p w14:paraId="76D94A76" w14:textId="090A9AD0" w:rsidR="00653AA4" w:rsidRDefault="00653AA4" w:rsidP="00653AA4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76E1E078" w14:textId="17FE5984" w:rsidR="00653AA4" w:rsidRPr="0027541A" w:rsidRDefault="00653AA4" w:rsidP="00653AA4">
      <w:pPr>
        <w:pStyle w:val="Sous-titre"/>
        <w:rPr>
          <w:b/>
          <w:bCs/>
          <w:color w:val="7F7F7F" w:themeColor="text1" w:themeTint="80"/>
        </w:rPr>
      </w:pPr>
      <w:r w:rsidRPr="0027541A">
        <w:rPr>
          <w:b/>
          <w:bCs/>
          <w:color w:val="7F7F7F" w:themeColor="text1" w:themeTint="80"/>
        </w:rPr>
        <w:t>Niveau de développement des compétences</w:t>
      </w:r>
    </w:p>
    <w:p w14:paraId="27A5FFB1" w14:textId="0EC76375" w:rsidR="00F57E55" w:rsidRPr="00F57E55" w:rsidRDefault="00F57E55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 xml:space="preserve">L’étudiant est évalué en fonction </w:t>
      </w:r>
      <w:r w:rsidR="003C69FE">
        <w:rPr>
          <w:rStyle w:val="lev"/>
          <w:rFonts w:ascii="Cambria" w:hAnsi="Cambria" w:cs="Arial"/>
          <w:b w:val="0"/>
        </w:rPr>
        <w:t>du niveau de développement des</w:t>
      </w:r>
      <w:r w:rsidRPr="00F57E55">
        <w:rPr>
          <w:rStyle w:val="lev"/>
          <w:rFonts w:ascii="Cambria" w:hAnsi="Cambria" w:cs="Arial"/>
          <w:b w:val="0"/>
        </w:rPr>
        <w:t xml:space="preserve"> 7 grandes compétences de la psychologie/neuropsychologie </w:t>
      </w:r>
      <w:r w:rsidR="00933563">
        <w:rPr>
          <w:rStyle w:val="lev"/>
          <w:rFonts w:ascii="Cambria" w:hAnsi="Cambria" w:cs="Arial"/>
          <w:b w:val="0"/>
        </w:rPr>
        <w:t>exigées</w:t>
      </w:r>
      <w:r w:rsidRPr="00F57E55">
        <w:rPr>
          <w:rStyle w:val="lev"/>
          <w:rFonts w:ascii="Cambria" w:hAnsi="Cambria" w:cs="Arial"/>
          <w:b w:val="0"/>
        </w:rPr>
        <w:t xml:space="preserve"> par l’OPQ</w:t>
      </w:r>
      <w:r w:rsidR="00933563">
        <w:rPr>
          <w:rStyle w:val="Appelnotedebasdep"/>
          <w:rFonts w:ascii="Cambria" w:hAnsi="Cambria" w:cs="Arial"/>
          <w:bCs/>
        </w:rPr>
        <w:footnoteReference w:id="1"/>
      </w:r>
      <w:r w:rsidRPr="00F57E55">
        <w:rPr>
          <w:rStyle w:val="lev"/>
          <w:rFonts w:ascii="Cambria" w:hAnsi="Cambria" w:cs="Arial"/>
          <w:b w:val="0"/>
        </w:rPr>
        <w:t> :</w:t>
      </w:r>
    </w:p>
    <w:p w14:paraId="6B43B3AB" w14:textId="1F508B9A" w:rsidR="00F57E55" w:rsidRPr="00F57E55" w:rsidRDefault="00F57E55" w:rsidP="00F57E55">
      <w:pPr>
        <w:pStyle w:val="Sansinterligne"/>
        <w:spacing w:line="276" w:lineRule="auto"/>
        <w:jc w:val="both"/>
        <w:rPr>
          <w:rStyle w:val="lev"/>
          <w:rFonts w:ascii="Cambria" w:hAnsi="Cambria" w:cs="Arial"/>
          <w:b w:val="0"/>
        </w:rPr>
      </w:pPr>
    </w:p>
    <w:p w14:paraId="49A10344" w14:textId="77777777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  <w:sectPr w:rsidR="00F57E55" w:rsidRPr="00F57E5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0085CBF" w14:textId="2901EAFF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Relations interpersonnelles</w:t>
      </w:r>
    </w:p>
    <w:p w14:paraId="4411A526" w14:textId="6AFE2197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Évaluation</w:t>
      </w:r>
    </w:p>
    <w:p w14:paraId="325B9717" w14:textId="78165E06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Intervention</w:t>
      </w:r>
    </w:p>
    <w:p w14:paraId="0D21F2D6" w14:textId="466D307A" w:rsidR="00F57E55" w:rsidRPr="00F57E55" w:rsidRDefault="00F57E55" w:rsidP="00933563">
      <w:pPr>
        <w:pStyle w:val="Sansinterligne"/>
        <w:numPr>
          <w:ilvl w:val="0"/>
          <w:numId w:val="1"/>
        </w:numPr>
        <w:spacing w:after="240"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Éthique et déontologie</w:t>
      </w:r>
    </w:p>
    <w:p w14:paraId="65E99980" w14:textId="40937E29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Recherche</w:t>
      </w:r>
    </w:p>
    <w:p w14:paraId="755BCF85" w14:textId="6867308E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Consultation</w:t>
      </w:r>
    </w:p>
    <w:p w14:paraId="59BE93F9" w14:textId="2D5131A3" w:rsidR="00F57E55" w:rsidRPr="00F57E55" w:rsidRDefault="00F57E55" w:rsidP="00F57E55">
      <w:pPr>
        <w:pStyle w:val="Sansinterligne"/>
        <w:numPr>
          <w:ilvl w:val="0"/>
          <w:numId w:val="1"/>
        </w:numPr>
        <w:spacing w:line="276" w:lineRule="auto"/>
        <w:jc w:val="both"/>
        <w:rPr>
          <w:rStyle w:val="lev"/>
          <w:rFonts w:ascii="Cambria" w:hAnsi="Cambria" w:cs="Arial"/>
          <w:b w:val="0"/>
        </w:rPr>
      </w:pPr>
      <w:r w:rsidRPr="00F57E55">
        <w:rPr>
          <w:rStyle w:val="lev"/>
          <w:rFonts w:ascii="Cambria" w:hAnsi="Cambria" w:cs="Arial"/>
          <w:b w:val="0"/>
        </w:rPr>
        <w:t>Supervision</w:t>
      </w:r>
    </w:p>
    <w:p w14:paraId="492028DC" w14:textId="77777777" w:rsidR="00F57E55" w:rsidRPr="00F57E55" w:rsidRDefault="00F57E55" w:rsidP="00F57E55">
      <w:pPr>
        <w:jc w:val="both"/>
        <w:rPr>
          <w:rFonts w:ascii="Cambria" w:hAnsi="Cambria"/>
          <w:b/>
        </w:rPr>
        <w:sectPr w:rsidR="00F57E55" w:rsidRPr="00F57E55" w:rsidSect="00F57E55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1D07934" w14:textId="5E9E0F94" w:rsidR="00762271" w:rsidRDefault="00D922F0" w:rsidP="0093356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Ainsi, les professeurs de clinique auront à préciser le niveau jugé atteint par l’étudiant pour </w:t>
      </w:r>
      <w:r w:rsidR="00123192">
        <w:rPr>
          <w:rFonts w:ascii="Cambria" w:hAnsi="Cambria"/>
        </w:rPr>
        <w:t xml:space="preserve">chacune des </w:t>
      </w:r>
      <w:r>
        <w:rPr>
          <w:rFonts w:ascii="Cambria" w:hAnsi="Cambria"/>
        </w:rPr>
        <w:t>compétences. Pour ce faire, le superviseur consulte les items critiques pour la compétence donné</w:t>
      </w:r>
      <w:r w:rsidR="00B629E7">
        <w:rPr>
          <w:rFonts w:ascii="Cambria" w:hAnsi="Cambria"/>
        </w:rPr>
        <w:t>e</w:t>
      </w:r>
      <w:r>
        <w:rPr>
          <w:rFonts w:ascii="Cambria" w:hAnsi="Cambria"/>
        </w:rPr>
        <w:t xml:space="preserve">, et évalue où l’interne se situe </w:t>
      </w:r>
      <w:r w:rsidR="004F01F2" w:rsidRPr="004F01F2">
        <w:rPr>
          <w:rFonts w:ascii="Cambria" w:hAnsi="Cambria"/>
          <w:u w:val="single"/>
        </w:rPr>
        <w:t>la plupart du temps</w:t>
      </w:r>
      <w:r w:rsidR="004F01F2">
        <w:rPr>
          <w:rFonts w:ascii="Cambria" w:hAnsi="Cambria"/>
        </w:rPr>
        <w:t xml:space="preserve"> </w:t>
      </w:r>
      <w:r>
        <w:rPr>
          <w:rFonts w:ascii="Cambria" w:hAnsi="Cambria"/>
        </w:rPr>
        <w:t>entre le niveau 1 à 4, à l’aide des descriptions fournies.</w:t>
      </w:r>
      <w:r w:rsidR="00E73A9F">
        <w:rPr>
          <w:rFonts w:ascii="Cambria" w:hAnsi="Cambria"/>
        </w:rPr>
        <w:t xml:space="preserve"> Les items critiques sont des marqueurs comportementaux de la compétence attendue. </w:t>
      </w:r>
      <w:r w:rsidR="00762271" w:rsidRPr="00762271">
        <w:t xml:space="preserve"> </w:t>
      </w:r>
      <w:r w:rsidR="00762271" w:rsidRPr="00762271">
        <w:rPr>
          <w:rFonts w:ascii="Cambria" w:hAnsi="Cambria"/>
        </w:rPr>
        <w:t xml:space="preserve">Il est de la responsabilité de chaque superviseur de clarifier de quelle manière les items critiques seront évalués en fonction </w:t>
      </w:r>
      <w:r w:rsidR="00A43E28">
        <w:rPr>
          <w:rFonts w:ascii="Cambria" w:hAnsi="Cambria"/>
        </w:rPr>
        <w:t>de son</w:t>
      </w:r>
      <w:r w:rsidR="00762271" w:rsidRPr="00762271">
        <w:rPr>
          <w:rFonts w:ascii="Cambria" w:hAnsi="Cambria"/>
        </w:rPr>
        <w:t xml:space="preserve"> cadre de supervision. </w:t>
      </w:r>
      <w:r>
        <w:rPr>
          <w:rFonts w:ascii="Cambria" w:hAnsi="Cambria"/>
        </w:rPr>
        <w:t>La grille d’évaluation, par son code de couleur, indique le seuil minimal requis à chacune des compétences pour la réussite de l’internat.</w:t>
      </w:r>
    </w:p>
    <w:p w14:paraId="6A3ED33B" w14:textId="01412A9C" w:rsidR="004F01F2" w:rsidRDefault="004F01F2" w:rsidP="00D922F0">
      <w:pPr>
        <w:jc w:val="both"/>
        <w:rPr>
          <w:rFonts w:ascii="Cambria" w:hAnsi="Cambria"/>
        </w:rPr>
      </w:pPr>
      <w:r>
        <w:rPr>
          <w:rFonts w:ascii="Cambria" w:hAnsi="Cambria"/>
        </w:rPr>
        <w:t>Voici quelques repères pour l’attribution des niveaux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3118"/>
        <w:gridCol w:w="2548"/>
        <w:gridCol w:w="27"/>
      </w:tblGrid>
      <w:tr w:rsidR="004F01F2" w:rsidRPr="008E0B8E" w14:paraId="2F56AD75" w14:textId="77777777" w:rsidTr="000213F5">
        <w:trPr>
          <w:gridAfter w:val="1"/>
          <w:wAfter w:w="27" w:type="dxa"/>
        </w:trPr>
        <w:tc>
          <w:tcPr>
            <w:tcW w:w="988" w:type="dxa"/>
            <w:shd w:val="clear" w:color="auto" w:fill="D2ECB6"/>
          </w:tcPr>
          <w:p w14:paraId="66D75D1F" w14:textId="685CBAC0" w:rsidR="004F01F2" w:rsidRPr="008E0B8E" w:rsidRDefault="00F57FDF" w:rsidP="000213F5">
            <w:pPr>
              <w:rPr>
                <w:rFonts w:cstheme="minorHAnsi"/>
                <w:b/>
                <w:sz w:val="20"/>
              </w:rPr>
            </w:pPr>
            <w:r w:rsidRPr="008E0B8E">
              <w:rPr>
                <w:rFonts w:cstheme="minorHAnsi"/>
                <w:b/>
                <w:sz w:val="20"/>
              </w:rPr>
              <w:t>Niveaux</w:t>
            </w:r>
          </w:p>
        </w:tc>
        <w:tc>
          <w:tcPr>
            <w:tcW w:w="2126" w:type="dxa"/>
            <w:shd w:val="clear" w:color="auto" w:fill="D2ECB6"/>
          </w:tcPr>
          <w:p w14:paraId="0809FFD1" w14:textId="707048C3" w:rsidR="004F01F2" w:rsidRPr="008E0B8E" w:rsidRDefault="00F57FDF" w:rsidP="000213F5">
            <w:pPr>
              <w:rPr>
                <w:rFonts w:cstheme="minorHAnsi"/>
                <w:b/>
                <w:sz w:val="20"/>
              </w:rPr>
            </w:pPr>
            <w:r w:rsidRPr="008E0B8E">
              <w:rPr>
                <w:rFonts w:cstheme="minorHAnsi"/>
                <w:b/>
                <w:sz w:val="20"/>
              </w:rPr>
              <w:t>Maîtrise des items critiques</w:t>
            </w:r>
          </w:p>
        </w:tc>
        <w:tc>
          <w:tcPr>
            <w:tcW w:w="3118" w:type="dxa"/>
            <w:shd w:val="clear" w:color="auto" w:fill="D2ECB6"/>
          </w:tcPr>
          <w:p w14:paraId="02A7B512" w14:textId="01653571" w:rsidR="004F01F2" w:rsidRPr="008E0B8E" w:rsidRDefault="00F57FDF" w:rsidP="000213F5">
            <w:pPr>
              <w:rPr>
                <w:rFonts w:cstheme="minorHAnsi"/>
                <w:b/>
                <w:sz w:val="20"/>
              </w:rPr>
            </w:pPr>
            <w:r w:rsidRPr="008E0B8E">
              <w:rPr>
                <w:rFonts w:cstheme="minorHAnsi"/>
                <w:b/>
                <w:sz w:val="20"/>
              </w:rPr>
              <w:t>Niveau de supervision requis</w:t>
            </w:r>
          </w:p>
        </w:tc>
        <w:tc>
          <w:tcPr>
            <w:tcW w:w="2548" w:type="dxa"/>
            <w:shd w:val="clear" w:color="auto" w:fill="D2ECB6"/>
          </w:tcPr>
          <w:p w14:paraId="6F1C64DF" w14:textId="563E64F3" w:rsidR="004F01F2" w:rsidRPr="008E0B8E" w:rsidRDefault="004F01F2" w:rsidP="000213F5">
            <w:pPr>
              <w:rPr>
                <w:rFonts w:cstheme="minorHAnsi"/>
                <w:b/>
                <w:sz w:val="20"/>
              </w:rPr>
            </w:pPr>
            <w:r w:rsidRPr="008E0B8E">
              <w:rPr>
                <w:rFonts w:cstheme="minorHAnsi"/>
                <w:b/>
                <w:sz w:val="20"/>
              </w:rPr>
              <w:t xml:space="preserve">Cheminement </w:t>
            </w:r>
            <w:r w:rsidR="00546708" w:rsidRPr="008E0B8E">
              <w:rPr>
                <w:rFonts w:cstheme="minorHAnsi"/>
                <w:b/>
                <w:sz w:val="20"/>
              </w:rPr>
              <w:t xml:space="preserve">approximatif </w:t>
            </w:r>
            <w:r w:rsidR="00F57FDF" w:rsidRPr="008E0B8E">
              <w:rPr>
                <w:rFonts w:cstheme="minorHAnsi"/>
                <w:b/>
                <w:sz w:val="20"/>
              </w:rPr>
              <w:t>attendu</w:t>
            </w:r>
            <w:r w:rsidR="00E60D33" w:rsidRPr="008E0B8E">
              <w:rPr>
                <w:rFonts w:cstheme="minorHAnsi"/>
                <w:b/>
                <w:sz w:val="20"/>
              </w:rPr>
              <w:t>*</w:t>
            </w:r>
          </w:p>
        </w:tc>
      </w:tr>
      <w:tr w:rsidR="004F01F2" w:rsidRPr="008E0B8E" w14:paraId="6CB46544" w14:textId="77777777" w:rsidTr="005E227B">
        <w:trPr>
          <w:gridAfter w:val="1"/>
          <w:wAfter w:w="27" w:type="dxa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F8C560D" w14:textId="56747791" w:rsidR="004F01F2" w:rsidRPr="008E0B8E" w:rsidRDefault="00F57FDF" w:rsidP="00F57FDF">
            <w:pPr>
              <w:jc w:val="center"/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8819157" w14:textId="0B039CA1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Difficultés</w:t>
            </w:r>
          </w:p>
        </w:tc>
        <w:tc>
          <w:tcPr>
            <w:tcW w:w="3118" w:type="dxa"/>
            <w:vAlign w:val="center"/>
          </w:tcPr>
          <w:p w14:paraId="6DB16DC0" w14:textId="39081AAB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Supervision soutenue</w:t>
            </w:r>
            <w:r w:rsidR="00FF0ABA" w:rsidRPr="008E0B8E">
              <w:rPr>
                <w:rFonts w:cstheme="minorHAnsi"/>
                <w:sz w:val="20"/>
              </w:rPr>
              <w:t xml:space="preserve"> et hebdomadaire</w:t>
            </w:r>
            <w:r w:rsidRPr="008E0B8E">
              <w:rPr>
                <w:rFonts w:cstheme="minorHAnsi"/>
                <w:sz w:val="20"/>
              </w:rPr>
              <w:t>. Faible autonomie.</w:t>
            </w:r>
          </w:p>
        </w:tc>
        <w:tc>
          <w:tcPr>
            <w:tcW w:w="2548" w:type="dxa"/>
            <w:vAlign w:val="center"/>
          </w:tcPr>
          <w:p w14:paraId="25CE0C23" w14:textId="798AFD53" w:rsidR="004F01F2" w:rsidRPr="008E0B8E" w:rsidRDefault="00E60D33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Stage 1</w:t>
            </w:r>
          </w:p>
        </w:tc>
      </w:tr>
      <w:tr w:rsidR="004F01F2" w:rsidRPr="008E0B8E" w14:paraId="057D8367" w14:textId="77777777" w:rsidTr="005E227B">
        <w:trPr>
          <w:gridAfter w:val="1"/>
          <w:wAfter w:w="27" w:type="dxa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B493174" w14:textId="5E29DC3B" w:rsidR="004F01F2" w:rsidRPr="008E0B8E" w:rsidRDefault="00F57FDF" w:rsidP="00F57FDF">
            <w:pPr>
              <w:jc w:val="center"/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813DDCC" w14:textId="1D3AFC77" w:rsidR="004F01F2" w:rsidRPr="008E0B8E" w:rsidRDefault="00F31D51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 xml:space="preserve">Rencontre partiellement les compétences </w:t>
            </w:r>
          </w:p>
        </w:tc>
        <w:tc>
          <w:tcPr>
            <w:tcW w:w="3118" w:type="dxa"/>
            <w:vAlign w:val="center"/>
          </w:tcPr>
          <w:p w14:paraId="5D30B76B" w14:textId="355BE87E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 xml:space="preserve">Supervision </w:t>
            </w:r>
            <w:r w:rsidR="008C7118" w:rsidRPr="008E0B8E">
              <w:rPr>
                <w:rFonts w:cstheme="minorHAnsi"/>
                <w:sz w:val="20"/>
              </w:rPr>
              <w:t>régulière</w:t>
            </w:r>
            <w:r w:rsidRPr="008E0B8E">
              <w:rPr>
                <w:rFonts w:cstheme="minorHAnsi"/>
                <w:sz w:val="20"/>
              </w:rPr>
              <w:t xml:space="preserve"> (hebdomadaire)</w:t>
            </w:r>
          </w:p>
        </w:tc>
        <w:tc>
          <w:tcPr>
            <w:tcW w:w="2548" w:type="dxa"/>
            <w:vAlign w:val="center"/>
          </w:tcPr>
          <w:p w14:paraId="31FB01B6" w14:textId="67AA8607" w:rsidR="004F01F2" w:rsidRPr="008E0B8E" w:rsidRDefault="00E60D33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Stage 2</w:t>
            </w:r>
          </w:p>
        </w:tc>
      </w:tr>
      <w:tr w:rsidR="004F01F2" w:rsidRPr="008E0B8E" w14:paraId="10D205D4" w14:textId="77777777" w:rsidTr="005E227B">
        <w:trPr>
          <w:gridAfter w:val="1"/>
          <w:wAfter w:w="27" w:type="dxa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B26C98E" w14:textId="24A7F6AE" w:rsidR="004F01F2" w:rsidRPr="008E0B8E" w:rsidRDefault="00F57FDF" w:rsidP="00F57FDF">
            <w:pPr>
              <w:jc w:val="center"/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4FE1CFB" w14:textId="205BC0E1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Bonne maitrise des compétences</w:t>
            </w:r>
          </w:p>
        </w:tc>
        <w:tc>
          <w:tcPr>
            <w:tcW w:w="3118" w:type="dxa"/>
            <w:vAlign w:val="center"/>
          </w:tcPr>
          <w:p w14:paraId="03AAB65C" w14:textId="36D23A2C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 xml:space="preserve">Supervision </w:t>
            </w:r>
            <w:r w:rsidR="00FF0ABA" w:rsidRPr="008E0B8E">
              <w:rPr>
                <w:rFonts w:cstheme="minorHAnsi"/>
                <w:sz w:val="20"/>
              </w:rPr>
              <w:t xml:space="preserve">régulière, </w:t>
            </w:r>
            <w:r w:rsidRPr="008E0B8E">
              <w:rPr>
                <w:rFonts w:cstheme="minorHAnsi"/>
                <w:sz w:val="20"/>
              </w:rPr>
              <w:t xml:space="preserve">axée sur les </w:t>
            </w:r>
            <w:r w:rsidR="008C7118" w:rsidRPr="008E0B8E">
              <w:rPr>
                <w:rFonts w:cstheme="minorHAnsi"/>
                <w:sz w:val="20"/>
              </w:rPr>
              <w:t>interactions/cas</w:t>
            </w:r>
            <w:r w:rsidRPr="008E0B8E">
              <w:rPr>
                <w:rFonts w:cstheme="minorHAnsi"/>
                <w:sz w:val="20"/>
              </w:rPr>
              <w:t xml:space="preserve"> complexes</w:t>
            </w:r>
          </w:p>
        </w:tc>
        <w:tc>
          <w:tcPr>
            <w:tcW w:w="2548" w:type="dxa"/>
            <w:vAlign w:val="center"/>
          </w:tcPr>
          <w:p w14:paraId="5A0F1CD5" w14:textId="164CAC3A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Internat</w:t>
            </w:r>
          </w:p>
        </w:tc>
      </w:tr>
      <w:tr w:rsidR="004F01F2" w:rsidRPr="008E0B8E" w14:paraId="2ADCD975" w14:textId="77777777" w:rsidTr="005E227B">
        <w:trPr>
          <w:gridAfter w:val="1"/>
          <w:wAfter w:w="27" w:type="dxa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4363F73" w14:textId="0E571FE9" w:rsidR="004F01F2" w:rsidRPr="008E0B8E" w:rsidRDefault="004F01F2" w:rsidP="00F57FDF">
            <w:pPr>
              <w:jc w:val="center"/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02A62DA1" w14:textId="7BC545E8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Compétences avancées</w:t>
            </w:r>
          </w:p>
        </w:tc>
        <w:tc>
          <w:tcPr>
            <w:tcW w:w="3118" w:type="dxa"/>
            <w:vAlign w:val="center"/>
          </w:tcPr>
          <w:p w14:paraId="3C313249" w14:textId="601722AD" w:rsidR="004F01F2" w:rsidRPr="008E0B8E" w:rsidRDefault="00F57FDF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 xml:space="preserve">Supervision minimale. </w:t>
            </w:r>
            <w:r w:rsidR="008C7118" w:rsidRPr="008E0B8E">
              <w:rPr>
                <w:rFonts w:cstheme="minorHAnsi"/>
                <w:sz w:val="20"/>
              </w:rPr>
              <w:t>Autonomie accrue.</w:t>
            </w:r>
          </w:p>
        </w:tc>
        <w:tc>
          <w:tcPr>
            <w:tcW w:w="2548" w:type="dxa"/>
            <w:vAlign w:val="center"/>
          </w:tcPr>
          <w:p w14:paraId="102D09C7" w14:textId="18B242BF" w:rsidR="004F01F2" w:rsidRPr="008E0B8E" w:rsidRDefault="005B3AF2" w:rsidP="0044404C">
            <w:pPr>
              <w:rPr>
                <w:rFonts w:cstheme="minorHAnsi"/>
                <w:sz w:val="20"/>
              </w:rPr>
            </w:pPr>
            <w:r w:rsidRPr="008E0B8E">
              <w:rPr>
                <w:rFonts w:cstheme="minorHAnsi"/>
                <w:sz w:val="20"/>
              </w:rPr>
              <w:t>Fin d’i</w:t>
            </w:r>
            <w:r w:rsidR="00F57FDF" w:rsidRPr="008E0B8E">
              <w:rPr>
                <w:rFonts w:cstheme="minorHAnsi"/>
                <w:sz w:val="20"/>
              </w:rPr>
              <w:t>nternat et début de pratique</w:t>
            </w:r>
          </w:p>
        </w:tc>
      </w:tr>
      <w:tr w:rsidR="00E60D33" w:rsidRPr="008E0B8E" w14:paraId="0B2041AA" w14:textId="77777777" w:rsidTr="008E0B8E">
        <w:trPr>
          <w:trHeight w:val="389"/>
        </w:trPr>
        <w:tc>
          <w:tcPr>
            <w:tcW w:w="8807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8875E9" w14:textId="32B3BB82" w:rsidR="00E60D33" w:rsidRPr="008E0B8E" w:rsidRDefault="00E60D33" w:rsidP="00E60D33">
            <w:pPr>
              <w:rPr>
                <w:rFonts w:cstheme="minorHAnsi"/>
                <w:i/>
                <w:sz w:val="20"/>
              </w:rPr>
            </w:pPr>
            <w:r w:rsidRPr="008E0B8E">
              <w:rPr>
                <w:rFonts w:cstheme="minorHAnsi"/>
                <w:i/>
                <w:sz w:val="20"/>
              </w:rPr>
              <w:t>* Varie selon les compétences, se référer à la grille</w:t>
            </w:r>
            <w:r w:rsidR="005B3AF2" w:rsidRPr="008E0B8E"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1AB6FD8A" w14:textId="77777777" w:rsidR="0027541A" w:rsidRDefault="0027541A" w:rsidP="00653AA4">
      <w:pPr>
        <w:jc w:val="both"/>
        <w:rPr>
          <w:rFonts w:ascii="Cambria" w:hAnsi="Cambria"/>
        </w:rPr>
      </w:pPr>
    </w:p>
    <w:p w14:paraId="0C4F9058" w14:textId="155E249F" w:rsidR="00653AA4" w:rsidRDefault="0027541A" w:rsidP="00653AA4">
      <w:pPr>
        <w:jc w:val="both"/>
        <w:rPr>
          <w:rFonts w:ascii="Cambria" w:hAnsi="Cambria"/>
        </w:rPr>
      </w:pPr>
      <w:bookmarkStart w:id="2" w:name="_Hlk138929559"/>
      <w:r>
        <w:rPr>
          <w:rFonts w:ascii="Cambria" w:hAnsi="Cambria"/>
        </w:rPr>
        <w:t>L</w:t>
      </w:r>
      <w:r w:rsidR="003C69FE">
        <w:rPr>
          <w:rFonts w:ascii="Cambria" w:hAnsi="Cambria"/>
        </w:rPr>
        <w:t>’évaluation à l’aide de niveaux met l’emphase sur le fait que les compétences se développent progressivement. Il est donc tout à fai</w:t>
      </w:r>
      <w:r w:rsidR="00A83C5C">
        <w:rPr>
          <w:rFonts w:ascii="Cambria" w:hAnsi="Cambria"/>
        </w:rPr>
        <w:t>t</w:t>
      </w:r>
      <w:r w:rsidR="003C69FE">
        <w:rPr>
          <w:rFonts w:ascii="Cambria" w:hAnsi="Cambria"/>
        </w:rPr>
        <w:t xml:space="preserve"> normal qu’un étudiant en stage 1 obtiennent des cotes de niveau 1 ou 2, puis en internat des cotes de 3 ou 4 pour la même compétence. </w:t>
      </w:r>
    </w:p>
    <w:bookmarkEnd w:id="2"/>
    <w:p w14:paraId="0FDDA639" w14:textId="453E910E" w:rsidR="00653AA4" w:rsidRDefault="00653AA4" w:rsidP="00653AA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Si vous observez des difficultés chez l’étudiant à rencontrer le niveau attendu dans l’une des compétences, </w:t>
      </w:r>
      <w:r w:rsidRPr="004F01F2">
        <w:rPr>
          <w:rFonts w:ascii="Cambria" w:hAnsi="Cambria"/>
          <w:u w:val="single"/>
        </w:rPr>
        <w:t>il est important d’en aviser l’agente de stage le plus tôt possible</w:t>
      </w:r>
      <w:r>
        <w:rPr>
          <w:rFonts w:ascii="Cambria" w:hAnsi="Cambria"/>
        </w:rPr>
        <w:t>.</w:t>
      </w:r>
    </w:p>
    <w:p w14:paraId="570B92DB" w14:textId="659A925B" w:rsidR="00653AA4" w:rsidRPr="0027541A" w:rsidRDefault="00653AA4" w:rsidP="00653AA4">
      <w:pPr>
        <w:pStyle w:val="Sous-titre"/>
        <w:rPr>
          <w:b/>
          <w:color w:val="7F7F7F" w:themeColor="text1" w:themeTint="80"/>
        </w:rPr>
      </w:pPr>
      <w:r w:rsidRPr="0027541A">
        <w:rPr>
          <w:b/>
          <w:color w:val="7F7F7F" w:themeColor="text1" w:themeTint="80"/>
        </w:rPr>
        <w:t>Notation</w:t>
      </w:r>
      <w:r w:rsidR="0027541A" w:rsidRPr="0027541A">
        <w:rPr>
          <w:b/>
          <w:color w:val="7F7F7F" w:themeColor="text1" w:themeTint="80"/>
        </w:rPr>
        <w:t xml:space="preserve"> et critères de réussite</w:t>
      </w:r>
    </w:p>
    <w:p w14:paraId="57E42B52" w14:textId="33F19EB0" w:rsidR="004F01F2" w:rsidRDefault="00123192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>Les 7</w:t>
      </w:r>
      <w:r w:rsidR="00F57E55" w:rsidRPr="00F57E55">
        <w:rPr>
          <w:rFonts w:ascii="Cambria" w:hAnsi="Cambria"/>
        </w:rPr>
        <w:t xml:space="preserve"> compétences étant essentielles au doctorat en psychologie, l’étudiant doit, </w:t>
      </w:r>
      <w:r w:rsidR="00D922F0">
        <w:rPr>
          <w:rFonts w:ascii="Cambria" w:hAnsi="Cambria"/>
        </w:rPr>
        <w:t>au terme de son 3</w:t>
      </w:r>
      <w:r w:rsidR="00D922F0" w:rsidRPr="00D922F0">
        <w:rPr>
          <w:rFonts w:ascii="Cambria" w:hAnsi="Cambria"/>
          <w:vertAlign w:val="superscript"/>
        </w:rPr>
        <w:t>e</w:t>
      </w:r>
      <w:r w:rsidR="00D922F0">
        <w:rPr>
          <w:rFonts w:ascii="Cambria" w:hAnsi="Cambria"/>
        </w:rPr>
        <w:t xml:space="preserve"> trimestre d’internat</w:t>
      </w:r>
      <w:r w:rsidR="00F57E55" w:rsidRPr="00F57E55">
        <w:rPr>
          <w:rFonts w:ascii="Cambria" w:hAnsi="Cambria"/>
        </w:rPr>
        <w:t xml:space="preserve">, atteindre un seuil minimal </w:t>
      </w:r>
      <w:r w:rsidR="00D922F0">
        <w:rPr>
          <w:rFonts w:ascii="Cambria" w:hAnsi="Cambria"/>
        </w:rPr>
        <w:t xml:space="preserve">(VERT) </w:t>
      </w:r>
      <w:r w:rsidR="00F57E55" w:rsidRPr="00653AA4">
        <w:rPr>
          <w:rFonts w:ascii="Cambria" w:hAnsi="Cambria"/>
          <w:u w:val="single"/>
        </w:rPr>
        <w:t xml:space="preserve">pour chacune des </w:t>
      </w:r>
      <w:r w:rsidR="00D922F0" w:rsidRPr="00653AA4">
        <w:rPr>
          <w:rFonts w:ascii="Cambria" w:hAnsi="Cambria"/>
          <w:u w:val="single"/>
        </w:rPr>
        <w:t xml:space="preserve">7 </w:t>
      </w:r>
      <w:r w:rsidR="00F57E55" w:rsidRPr="00653AA4">
        <w:rPr>
          <w:rFonts w:ascii="Cambria" w:hAnsi="Cambria"/>
          <w:u w:val="single"/>
        </w:rPr>
        <w:t>compétences évaluées</w:t>
      </w:r>
      <w:r w:rsidR="00F57E55" w:rsidRPr="00F57E55">
        <w:rPr>
          <w:rFonts w:ascii="Cambria" w:hAnsi="Cambria"/>
        </w:rPr>
        <w:t xml:space="preserve">. </w:t>
      </w:r>
      <w:r w:rsidR="00D922F0">
        <w:rPr>
          <w:rFonts w:ascii="Cambria" w:hAnsi="Cambria"/>
        </w:rPr>
        <w:t xml:space="preserve">Pour certaines compétences, un niveau ORANGE peut être accepté aux 2 premiers trimestres de l’internat, laissant ainsi le temps </w:t>
      </w:r>
      <w:r w:rsidR="00E21336">
        <w:rPr>
          <w:rFonts w:ascii="Cambria" w:hAnsi="Cambria"/>
        </w:rPr>
        <w:t xml:space="preserve">à l’interne </w:t>
      </w:r>
      <w:r w:rsidR="00D922F0">
        <w:rPr>
          <w:rFonts w:ascii="Cambria" w:hAnsi="Cambria"/>
        </w:rPr>
        <w:t xml:space="preserve">de s’adapter aux spécificités de son milieu. </w:t>
      </w:r>
      <w:r w:rsidR="00B629E7" w:rsidRPr="004F01F2">
        <w:rPr>
          <w:rFonts w:ascii="Cambria" w:hAnsi="Cambria"/>
          <w:u w:val="single"/>
        </w:rPr>
        <w:t>Une compétence</w:t>
      </w:r>
      <w:r w:rsidR="00B629E7" w:rsidRPr="004F01F2">
        <w:rPr>
          <w:rFonts w:ascii="Cambria" w:hAnsi="Cambria"/>
        </w:rPr>
        <w:t xml:space="preserve"> se situant au niveau ROUGE lors de l’internat représente un échec, de même </w:t>
      </w:r>
      <w:r w:rsidR="00B629E7" w:rsidRPr="004F01F2">
        <w:rPr>
          <w:rFonts w:ascii="Cambria" w:hAnsi="Cambria"/>
          <w:u w:val="single"/>
        </w:rPr>
        <w:t>qu’une compétence</w:t>
      </w:r>
      <w:r w:rsidR="00B629E7" w:rsidRPr="004F01F2">
        <w:rPr>
          <w:rFonts w:ascii="Cambria" w:hAnsi="Cambria"/>
        </w:rPr>
        <w:t xml:space="preserve"> au niveau ORANGE au 3</w:t>
      </w:r>
      <w:r w:rsidR="00B629E7" w:rsidRPr="004F01F2">
        <w:rPr>
          <w:rFonts w:ascii="Cambria" w:hAnsi="Cambria"/>
          <w:vertAlign w:val="superscript"/>
        </w:rPr>
        <w:t>e</w:t>
      </w:r>
      <w:r w:rsidR="00B629E7" w:rsidRPr="004F01F2">
        <w:rPr>
          <w:rFonts w:ascii="Cambria" w:hAnsi="Cambria"/>
        </w:rPr>
        <w:t xml:space="preserve"> trimestre d’internat</w:t>
      </w:r>
      <w:r w:rsidR="00AC439E">
        <w:rPr>
          <w:rFonts w:ascii="Cambria" w:hAnsi="Cambria"/>
        </w:rPr>
        <w:t xml:space="preserve"> seulement</w:t>
      </w:r>
      <w:r w:rsidR="00B629E7" w:rsidRPr="004F01F2">
        <w:rPr>
          <w:rFonts w:ascii="Cambria" w:hAnsi="Cambria"/>
        </w:rPr>
        <w:t xml:space="preserve">. </w:t>
      </w:r>
    </w:p>
    <w:p w14:paraId="78996CA9" w14:textId="77777777" w:rsidR="0027541A" w:rsidRPr="0027541A" w:rsidRDefault="0027541A" w:rsidP="0027541A">
      <w:pPr>
        <w:jc w:val="both"/>
        <w:rPr>
          <w:rFonts w:ascii="Cambria" w:hAnsi="Cambria"/>
        </w:rPr>
      </w:pPr>
      <w:bookmarkStart w:id="3" w:name="_Hlk138929767"/>
      <w:r w:rsidRPr="0027541A">
        <w:rPr>
          <w:rFonts w:ascii="Cambria" w:hAnsi="Cambria"/>
        </w:rPr>
        <w:t xml:space="preserve">La notation de l’étudiant relève du jugement du professeur de clinique. Les balises suivantes peuvent néanmoins </w:t>
      </w:r>
      <w:bookmarkStart w:id="4" w:name="_Hlk138927249"/>
      <w:r w:rsidRPr="0027541A">
        <w:rPr>
          <w:rFonts w:ascii="Cambria" w:hAnsi="Cambria"/>
        </w:rPr>
        <w:t>guider l’évaluation </w:t>
      </w:r>
      <w:bookmarkEnd w:id="4"/>
      <w:r w:rsidRPr="0027541A">
        <w:rPr>
          <w:rFonts w:ascii="Cambria" w:hAnsi="Cambria"/>
        </w:rPr>
        <w:t>:</w:t>
      </w:r>
    </w:p>
    <w:p w14:paraId="30EA8675" w14:textId="77777777" w:rsidR="0027541A" w:rsidRDefault="0027541A" w:rsidP="0027541A">
      <w:pPr>
        <w:spacing w:after="0"/>
        <w:jc w:val="both"/>
        <w:rPr>
          <w:noProof/>
        </w:rPr>
      </w:pPr>
    </w:p>
    <w:tbl>
      <w:tblPr>
        <w:tblStyle w:val="Grilledutableau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1559"/>
        <w:gridCol w:w="6379"/>
      </w:tblGrid>
      <w:tr w:rsidR="0027541A" w14:paraId="7C9EAA36" w14:textId="77777777" w:rsidTr="0027541A">
        <w:trPr>
          <w:trHeight w:val="428"/>
        </w:trPr>
        <w:tc>
          <w:tcPr>
            <w:tcW w:w="8784" w:type="dxa"/>
            <w:gridSpan w:val="3"/>
            <w:shd w:val="clear" w:color="auto" w:fill="404040" w:themeFill="text1" w:themeFillTint="BF"/>
            <w:vAlign w:val="center"/>
          </w:tcPr>
          <w:p w14:paraId="3035021C" w14:textId="77777777" w:rsidR="0027541A" w:rsidRPr="00C654C3" w:rsidRDefault="0027541A" w:rsidP="00515554">
            <w:pPr>
              <w:rPr>
                <w:b/>
                <w:color w:val="FFFFFF" w:themeColor="background1"/>
              </w:rPr>
            </w:pPr>
            <w:r w:rsidRPr="00C654C3">
              <w:rPr>
                <w:b/>
                <w:color w:val="FFFFFF" w:themeColor="background1"/>
              </w:rPr>
              <w:t xml:space="preserve">Balises pour l’attribution de la note de stage et d’internat  </w:t>
            </w:r>
          </w:p>
        </w:tc>
      </w:tr>
      <w:tr w:rsidR="0027541A" w14:paraId="1CB05803" w14:textId="77777777" w:rsidTr="0027541A">
        <w:trPr>
          <w:trHeight w:val="428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DF4C2BD" w14:textId="77777777" w:rsidR="0027541A" w:rsidRPr="003004AD" w:rsidRDefault="0027541A" w:rsidP="00515554">
            <w:pPr>
              <w:rPr>
                <w:b/>
              </w:rPr>
            </w:pPr>
            <w:r w:rsidRPr="003004AD">
              <w:rPr>
                <w:b/>
              </w:rPr>
              <w:t>Cote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1DFC6DE" w14:textId="77777777" w:rsidR="0027541A" w:rsidRPr="003004AD" w:rsidRDefault="0027541A" w:rsidP="00515554">
            <w:pPr>
              <w:rPr>
                <w:b/>
              </w:rPr>
            </w:pPr>
            <w:r w:rsidRPr="003004AD">
              <w:rPr>
                <w:b/>
              </w:rPr>
              <w:t>Repères qualitatifs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60DD1660" w14:textId="77777777" w:rsidR="0027541A" w:rsidRPr="003004AD" w:rsidRDefault="0027541A" w:rsidP="00515554">
            <w:pPr>
              <w:rPr>
                <w:b/>
              </w:rPr>
            </w:pPr>
            <w:r>
              <w:rPr>
                <w:b/>
              </w:rPr>
              <w:t>Repères selon les niveaux de développement des compétences</w:t>
            </w:r>
          </w:p>
        </w:tc>
      </w:tr>
      <w:tr w:rsidR="0027541A" w14:paraId="4B32E4D7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342D3D96" w14:textId="77777777" w:rsidR="0027541A" w:rsidRDefault="0027541A" w:rsidP="00515554">
            <w:r>
              <w:t>A+</w:t>
            </w:r>
          </w:p>
        </w:tc>
        <w:tc>
          <w:tcPr>
            <w:tcW w:w="1559" w:type="dxa"/>
            <w:vMerge w:val="restart"/>
            <w:vAlign w:val="center"/>
          </w:tcPr>
          <w:p w14:paraId="46A07CCE" w14:textId="77777777" w:rsidR="0027541A" w:rsidRDefault="0027541A" w:rsidP="00515554">
            <w:r>
              <w:t>Excellent.</w:t>
            </w:r>
          </w:p>
          <w:p w14:paraId="15E0D875" w14:textId="77777777" w:rsidR="0027541A" w:rsidRDefault="0027541A" w:rsidP="00515554">
            <w:r>
              <w:t>Se démarque.</w:t>
            </w:r>
          </w:p>
        </w:tc>
        <w:tc>
          <w:tcPr>
            <w:tcW w:w="6379" w:type="dxa"/>
            <w:vMerge w:val="restart"/>
            <w:vAlign w:val="center"/>
          </w:tcPr>
          <w:p w14:paraId="6DDCD060" w14:textId="77777777" w:rsidR="0027541A" w:rsidRDefault="0027541A" w:rsidP="00515554">
            <w:r>
              <w:t>Surpasse le niveau attendu pour la plupart voire toutes les compétences.</w:t>
            </w:r>
          </w:p>
        </w:tc>
      </w:tr>
      <w:tr w:rsidR="0027541A" w14:paraId="6926461E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7A81F095" w14:textId="77777777" w:rsidR="0027541A" w:rsidRDefault="0027541A" w:rsidP="00515554">
            <w:r>
              <w:t>A</w:t>
            </w:r>
          </w:p>
        </w:tc>
        <w:tc>
          <w:tcPr>
            <w:tcW w:w="1559" w:type="dxa"/>
            <w:vMerge/>
            <w:vAlign w:val="center"/>
          </w:tcPr>
          <w:p w14:paraId="65F77438" w14:textId="77777777" w:rsidR="0027541A" w:rsidRDefault="0027541A" w:rsidP="00515554"/>
        </w:tc>
        <w:tc>
          <w:tcPr>
            <w:tcW w:w="6379" w:type="dxa"/>
            <w:vMerge/>
            <w:vAlign w:val="center"/>
          </w:tcPr>
          <w:p w14:paraId="61327E5B" w14:textId="77777777" w:rsidR="0027541A" w:rsidRDefault="0027541A" w:rsidP="00515554"/>
        </w:tc>
      </w:tr>
      <w:tr w:rsidR="0027541A" w14:paraId="5A3FA356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7C5CDDAA" w14:textId="77777777" w:rsidR="0027541A" w:rsidRDefault="0027541A" w:rsidP="00515554">
            <w:r>
              <w:t>A-</w:t>
            </w:r>
          </w:p>
        </w:tc>
        <w:tc>
          <w:tcPr>
            <w:tcW w:w="1559" w:type="dxa"/>
            <w:vMerge/>
            <w:vAlign w:val="center"/>
          </w:tcPr>
          <w:p w14:paraId="11B0AAC3" w14:textId="77777777" w:rsidR="0027541A" w:rsidRDefault="0027541A" w:rsidP="00515554"/>
        </w:tc>
        <w:tc>
          <w:tcPr>
            <w:tcW w:w="6379" w:type="dxa"/>
            <w:vMerge/>
            <w:vAlign w:val="center"/>
          </w:tcPr>
          <w:p w14:paraId="4193B2D0" w14:textId="77777777" w:rsidR="0027541A" w:rsidRDefault="0027541A" w:rsidP="00515554"/>
        </w:tc>
      </w:tr>
      <w:tr w:rsidR="0027541A" w14:paraId="0B1D8062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566A08E9" w14:textId="77777777" w:rsidR="0027541A" w:rsidRDefault="0027541A" w:rsidP="00515554">
            <w:r>
              <w:t>B+</w:t>
            </w:r>
          </w:p>
        </w:tc>
        <w:tc>
          <w:tcPr>
            <w:tcW w:w="1559" w:type="dxa"/>
            <w:vMerge w:val="restart"/>
            <w:vAlign w:val="center"/>
          </w:tcPr>
          <w:p w14:paraId="3CE4B759" w14:textId="77777777" w:rsidR="0027541A" w:rsidRDefault="0027541A" w:rsidP="00515554">
            <w:r>
              <w:t>Très bien</w:t>
            </w:r>
          </w:p>
        </w:tc>
        <w:tc>
          <w:tcPr>
            <w:tcW w:w="6379" w:type="dxa"/>
            <w:vMerge w:val="restart"/>
            <w:vAlign w:val="center"/>
          </w:tcPr>
          <w:p w14:paraId="2D5AAFF8" w14:textId="77777777" w:rsidR="0027541A" w:rsidRDefault="0027541A" w:rsidP="00515554">
            <w:r>
              <w:t xml:space="preserve">Atteint le niveau minimal requis pour certaines compétences, et un niveau plus élevé à d’autres compétences (forces). </w:t>
            </w:r>
          </w:p>
        </w:tc>
      </w:tr>
      <w:tr w:rsidR="0027541A" w14:paraId="0D7976C1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05D2E76D" w14:textId="77777777" w:rsidR="0027541A" w:rsidRDefault="0027541A" w:rsidP="00515554">
            <w:r>
              <w:t>B</w:t>
            </w:r>
          </w:p>
        </w:tc>
        <w:tc>
          <w:tcPr>
            <w:tcW w:w="1559" w:type="dxa"/>
            <w:vMerge/>
            <w:vAlign w:val="center"/>
          </w:tcPr>
          <w:p w14:paraId="07050071" w14:textId="77777777" w:rsidR="0027541A" w:rsidRDefault="0027541A" w:rsidP="00515554"/>
        </w:tc>
        <w:tc>
          <w:tcPr>
            <w:tcW w:w="6379" w:type="dxa"/>
            <w:vMerge/>
            <w:vAlign w:val="center"/>
          </w:tcPr>
          <w:p w14:paraId="65EE993C" w14:textId="77777777" w:rsidR="0027541A" w:rsidRDefault="0027541A" w:rsidP="00515554"/>
        </w:tc>
      </w:tr>
      <w:tr w:rsidR="0027541A" w14:paraId="27DD27AA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07CD896E" w14:textId="77777777" w:rsidR="0027541A" w:rsidRDefault="0027541A" w:rsidP="00515554">
            <w:r>
              <w:t>B-</w:t>
            </w:r>
          </w:p>
        </w:tc>
        <w:tc>
          <w:tcPr>
            <w:tcW w:w="1559" w:type="dxa"/>
            <w:vMerge/>
            <w:vAlign w:val="center"/>
          </w:tcPr>
          <w:p w14:paraId="731E0717" w14:textId="77777777" w:rsidR="0027541A" w:rsidRDefault="0027541A" w:rsidP="00515554"/>
        </w:tc>
        <w:tc>
          <w:tcPr>
            <w:tcW w:w="6379" w:type="dxa"/>
            <w:vMerge/>
            <w:vAlign w:val="center"/>
          </w:tcPr>
          <w:p w14:paraId="6202FE28" w14:textId="77777777" w:rsidR="0027541A" w:rsidRDefault="0027541A" w:rsidP="00515554"/>
        </w:tc>
      </w:tr>
      <w:tr w:rsidR="0027541A" w14:paraId="3C5AA503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6A476425" w14:textId="77777777" w:rsidR="0027541A" w:rsidRDefault="0027541A" w:rsidP="00515554">
            <w:r>
              <w:t>C+</w:t>
            </w:r>
          </w:p>
        </w:tc>
        <w:tc>
          <w:tcPr>
            <w:tcW w:w="1559" w:type="dxa"/>
            <w:vMerge w:val="restart"/>
            <w:vAlign w:val="center"/>
          </w:tcPr>
          <w:p w14:paraId="4FD9D2E8" w14:textId="77777777" w:rsidR="0027541A" w:rsidRDefault="0027541A" w:rsidP="00515554">
            <w:r>
              <w:t>Satisfaisant, passable</w:t>
            </w:r>
          </w:p>
        </w:tc>
        <w:tc>
          <w:tcPr>
            <w:tcW w:w="6379" w:type="dxa"/>
            <w:vMerge w:val="restart"/>
            <w:vAlign w:val="center"/>
          </w:tcPr>
          <w:p w14:paraId="727CE499" w14:textId="77777777" w:rsidR="0027541A" w:rsidRDefault="0027541A" w:rsidP="00515554">
            <w:r>
              <w:t>Atteint le niveau minimal requis pour la réussite à toutes les compétences.</w:t>
            </w:r>
          </w:p>
        </w:tc>
      </w:tr>
      <w:tr w:rsidR="0027541A" w14:paraId="7213650B" w14:textId="77777777" w:rsidTr="0027541A">
        <w:trPr>
          <w:trHeight w:val="428"/>
        </w:trPr>
        <w:tc>
          <w:tcPr>
            <w:tcW w:w="846" w:type="dxa"/>
            <w:vAlign w:val="center"/>
          </w:tcPr>
          <w:p w14:paraId="7C793F6D" w14:textId="77777777" w:rsidR="0027541A" w:rsidRDefault="0027541A" w:rsidP="00515554">
            <w:r>
              <w:t>C</w:t>
            </w:r>
          </w:p>
        </w:tc>
        <w:tc>
          <w:tcPr>
            <w:tcW w:w="1559" w:type="dxa"/>
            <w:vMerge/>
          </w:tcPr>
          <w:p w14:paraId="5283228C" w14:textId="77777777" w:rsidR="0027541A" w:rsidRDefault="0027541A" w:rsidP="00515554"/>
        </w:tc>
        <w:tc>
          <w:tcPr>
            <w:tcW w:w="6379" w:type="dxa"/>
            <w:vMerge/>
            <w:vAlign w:val="center"/>
          </w:tcPr>
          <w:p w14:paraId="0BD128B5" w14:textId="77777777" w:rsidR="0027541A" w:rsidRDefault="0027541A" w:rsidP="00515554"/>
        </w:tc>
      </w:tr>
      <w:tr w:rsidR="0027541A" w14:paraId="6B4E05F7" w14:textId="77777777" w:rsidTr="005A5879">
        <w:trPr>
          <w:trHeight w:val="716"/>
        </w:trPr>
        <w:tc>
          <w:tcPr>
            <w:tcW w:w="846" w:type="dxa"/>
            <w:vAlign w:val="center"/>
          </w:tcPr>
          <w:p w14:paraId="6D184729" w14:textId="77777777" w:rsidR="0027541A" w:rsidRDefault="0027541A" w:rsidP="00515554">
            <w:r>
              <w:t>E</w:t>
            </w:r>
          </w:p>
        </w:tc>
        <w:tc>
          <w:tcPr>
            <w:tcW w:w="1559" w:type="dxa"/>
            <w:vAlign w:val="center"/>
          </w:tcPr>
          <w:p w14:paraId="576EECF3" w14:textId="77777777" w:rsidR="0027541A" w:rsidRDefault="0027541A" w:rsidP="00515554">
            <w:r>
              <w:t>Échec</w:t>
            </w:r>
          </w:p>
        </w:tc>
        <w:tc>
          <w:tcPr>
            <w:tcW w:w="6379" w:type="dxa"/>
            <w:vAlign w:val="center"/>
          </w:tcPr>
          <w:p w14:paraId="55850642" w14:textId="66AB48A7" w:rsidR="0027541A" w:rsidRDefault="0027541A" w:rsidP="00515554">
            <w:r>
              <w:t xml:space="preserve">N’atteint pas le niveau minimal requis pour chacune des compétences </w:t>
            </w:r>
            <w:r w:rsidRPr="0027541A">
              <w:rPr>
                <w:i/>
              </w:rPr>
              <w:t>(excluant collaboration interprofessionnelle).</w:t>
            </w:r>
          </w:p>
        </w:tc>
      </w:tr>
      <w:bookmarkEnd w:id="3"/>
    </w:tbl>
    <w:p w14:paraId="3448FB3E" w14:textId="77777777" w:rsidR="00766EB1" w:rsidRDefault="00766EB1" w:rsidP="00AF601A">
      <w:pPr>
        <w:spacing w:after="0"/>
        <w:jc w:val="both"/>
        <w:rPr>
          <w:rFonts w:ascii="Cambria" w:hAnsi="Cambria"/>
        </w:rPr>
      </w:pPr>
    </w:p>
    <w:p w14:paraId="787E78BD" w14:textId="302CD58E" w:rsidR="008E0B8E" w:rsidRDefault="002A0897" w:rsidP="00F57E55">
      <w:pPr>
        <w:jc w:val="both"/>
        <w:rPr>
          <w:rFonts w:ascii="Cambria" w:hAnsi="Cambria"/>
        </w:rPr>
      </w:pPr>
      <w:bookmarkStart w:id="5" w:name="_Hlk138930507"/>
      <w:r>
        <w:rPr>
          <w:rFonts w:ascii="Cambria" w:hAnsi="Cambria"/>
        </w:rPr>
        <w:t xml:space="preserve">Les mentions + et – peuvent être utilisées pour indiquer que l’étudiant se situe près du niveau précédent ou du niveau suivant. </w:t>
      </w:r>
    </w:p>
    <w:bookmarkEnd w:id="5"/>
    <w:p w14:paraId="0B831C08" w14:textId="466FFEC0" w:rsidR="00933563" w:rsidRPr="0027541A" w:rsidRDefault="00933563" w:rsidP="00933563">
      <w:pPr>
        <w:pStyle w:val="Sous-titre"/>
        <w:rPr>
          <w:b/>
          <w:color w:val="7F7F7F" w:themeColor="text1" w:themeTint="80"/>
        </w:rPr>
      </w:pPr>
      <w:r w:rsidRPr="0027541A">
        <w:rPr>
          <w:b/>
          <w:color w:val="7F7F7F" w:themeColor="text1" w:themeTint="80"/>
        </w:rPr>
        <w:t>La collaboration interprofessionnelle</w:t>
      </w:r>
    </w:p>
    <w:p w14:paraId="4A635EFF" w14:textId="77777777" w:rsidR="005A5879" w:rsidRDefault="00F57E55" w:rsidP="00F57E55">
      <w:pPr>
        <w:jc w:val="both"/>
        <w:rPr>
          <w:rFonts w:ascii="Cambria" w:hAnsi="Cambria"/>
        </w:rPr>
      </w:pPr>
      <w:r w:rsidRPr="00F57E55">
        <w:rPr>
          <w:rFonts w:ascii="Cambria" w:hAnsi="Cambria"/>
        </w:rPr>
        <w:t>Une 8</w:t>
      </w:r>
      <w:r w:rsidRPr="00F57E55">
        <w:rPr>
          <w:rFonts w:ascii="Cambria" w:hAnsi="Cambria"/>
          <w:vertAlign w:val="superscript"/>
        </w:rPr>
        <w:t>e</w:t>
      </w:r>
      <w:r w:rsidRPr="00F57E55">
        <w:rPr>
          <w:rFonts w:ascii="Cambria" w:hAnsi="Cambria"/>
        </w:rPr>
        <w:t xml:space="preserve"> compétence, </w:t>
      </w:r>
      <w:r w:rsidR="003C69FE">
        <w:rPr>
          <w:rFonts w:ascii="Cambria" w:hAnsi="Cambria"/>
        </w:rPr>
        <w:t xml:space="preserve">la </w:t>
      </w:r>
      <w:r w:rsidRPr="00F57E55">
        <w:rPr>
          <w:rFonts w:ascii="Cambria" w:hAnsi="Cambria"/>
        </w:rPr>
        <w:t xml:space="preserve">collaboration interprofessionnelle, a été ajoutée lors des internats, où les étudiants sont amenés à collaborer avec d’autres professionnels. Bien que non décisive pour la </w:t>
      </w:r>
      <w:r w:rsidRPr="00F57E55">
        <w:rPr>
          <w:rFonts w:ascii="Cambria" w:hAnsi="Cambria"/>
        </w:rPr>
        <w:lastRenderedPageBreak/>
        <w:t xml:space="preserve">réussite de l’internat, le développement de cette compétence et les rétroactions en ce </w:t>
      </w:r>
      <w:r w:rsidR="00D922F0">
        <w:rPr>
          <w:rFonts w:ascii="Cambria" w:hAnsi="Cambria"/>
        </w:rPr>
        <w:t xml:space="preserve">sens </w:t>
      </w:r>
      <w:r w:rsidRPr="00F57E55">
        <w:rPr>
          <w:rFonts w:ascii="Cambria" w:hAnsi="Cambria"/>
        </w:rPr>
        <w:t xml:space="preserve">sont encouragées. </w:t>
      </w:r>
    </w:p>
    <w:p w14:paraId="32D46A20" w14:textId="5AFA3921" w:rsidR="00F57E55" w:rsidRDefault="00F57E55" w:rsidP="00F57E55">
      <w:pPr>
        <w:jc w:val="both"/>
        <w:rPr>
          <w:rFonts w:ascii="Cambria" w:hAnsi="Cambria"/>
        </w:rPr>
      </w:pPr>
      <w:r w:rsidRPr="00F57E55">
        <w:rPr>
          <w:rFonts w:ascii="Cambria" w:hAnsi="Cambria"/>
        </w:rPr>
        <w:t>Pour plus d’information</w:t>
      </w:r>
      <w:r w:rsidR="003C69FE">
        <w:rPr>
          <w:rFonts w:ascii="Cambria" w:hAnsi="Cambria"/>
        </w:rPr>
        <w:t>s</w:t>
      </w:r>
      <w:r w:rsidRPr="00F57E55">
        <w:rPr>
          <w:rFonts w:ascii="Cambria" w:hAnsi="Cambria"/>
        </w:rPr>
        <w:t xml:space="preserve"> </w:t>
      </w:r>
      <w:r w:rsidR="003C69FE">
        <w:rPr>
          <w:rFonts w:ascii="Cambria" w:hAnsi="Cambria"/>
        </w:rPr>
        <w:t>à propos de</w:t>
      </w:r>
      <w:r w:rsidRPr="00F57E55">
        <w:rPr>
          <w:rFonts w:ascii="Cambria" w:hAnsi="Cambria"/>
        </w:rPr>
        <w:t xml:space="preserve"> cette compétence</w:t>
      </w:r>
      <w:r w:rsidR="005A5879">
        <w:rPr>
          <w:rFonts w:ascii="Cambria" w:hAnsi="Cambria"/>
        </w:rPr>
        <w:t xml:space="preserve"> et de ce qui est attendu chez les étudiants</w:t>
      </w:r>
      <w:r w:rsidRPr="00F57E55">
        <w:rPr>
          <w:rFonts w:ascii="Cambria" w:hAnsi="Cambria"/>
        </w:rPr>
        <w:t>, il est possible de se référer au référentiel national de compétences en matière d’interprofessionnalisme (</w:t>
      </w:r>
      <w:hyperlink r:id="rId11" w:history="1">
        <w:r w:rsidRPr="00F57E55">
          <w:rPr>
            <w:rFonts w:ascii="Cambria" w:hAnsi="Cambria"/>
            <w:color w:val="4472C4" w:themeColor="accent1"/>
            <w:u w:val="single"/>
          </w:rPr>
          <w:t>https://www.rcpi.ulaval.ca/fileadmin/media/Coffre_a_outils/CIHC_IPCompetencies-FrR_Sep710.pdf</w:t>
        </w:r>
      </w:hyperlink>
      <w:r>
        <w:rPr>
          <w:rFonts w:ascii="Cambria" w:hAnsi="Cambria"/>
        </w:rPr>
        <w:t xml:space="preserve"> </w:t>
      </w:r>
      <w:r w:rsidRPr="00F57E55">
        <w:rPr>
          <w:rFonts w:ascii="Cambria" w:hAnsi="Cambria"/>
        </w:rPr>
        <w:t>).</w:t>
      </w:r>
      <w:r>
        <w:rPr>
          <w:rFonts w:ascii="Cambria" w:hAnsi="Cambria"/>
        </w:rPr>
        <w:t xml:space="preserve"> </w:t>
      </w:r>
    </w:p>
    <w:p w14:paraId="6B8ECEEC" w14:textId="0BFD174A" w:rsidR="000064A4" w:rsidRPr="0027541A" w:rsidRDefault="000064A4" w:rsidP="000064A4">
      <w:pPr>
        <w:pStyle w:val="Sous-titre"/>
        <w:rPr>
          <w:b/>
          <w:color w:val="7F7F7F" w:themeColor="text1" w:themeTint="80"/>
        </w:rPr>
      </w:pPr>
      <w:r w:rsidRPr="0027541A">
        <w:rPr>
          <w:b/>
          <w:color w:val="7F7F7F" w:themeColor="text1" w:themeTint="80"/>
        </w:rPr>
        <w:t>Commentaires et signature</w:t>
      </w:r>
    </w:p>
    <w:p w14:paraId="5F4269A1" w14:textId="6CF40953" w:rsidR="00D922F0" w:rsidRDefault="00D922F0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>Le superviseur peut écrire des commentaires pour chacune des compétences ainsi que cibler, à la dernière page</w:t>
      </w:r>
      <w:r w:rsidR="00715AAA">
        <w:rPr>
          <w:rFonts w:ascii="Cambria" w:hAnsi="Cambria"/>
        </w:rPr>
        <w:t>, les forces de l’étudiant, ses limites</w:t>
      </w:r>
      <w:r w:rsidR="00E21336">
        <w:rPr>
          <w:rFonts w:ascii="Cambria" w:hAnsi="Cambria"/>
        </w:rPr>
        <w:t>,</w:t>
      </w:r>
      <w:r w:rsidR="00715AAA">
        <w:rPr>
          <w:rFonts w:ascii="Cambria" w:hAnsi="Cambria"/>
        </w:rPr>
        <w:t xml:space="preserve"> les objectifs à atteindre pour le prochain trimestre, ainsi que tout autre observation pertinente. </w:t>
      </w:r>
      <w:r w:rsidR="00F538D0">
        <w:rPr>
          <w:rFonts w:ascii="Cambria" w:hAnsi="Cambria"/>
        </w:rPr>
        <w:t>L’évaluation doit êt</w:t>
      </w:r>
      <w:r w:rsidR="005C16EE">
        <w:rPr>
          <w:rFonts w:ascii="Cambria" w:hAnsi="Cambria"/>
        </w:rPr>
        <w:t>re</w:t>
      </w:r>
      <w:r w:rsidR="00F538D0">
        <w:rPr>
          <w:rFonts w:ascii="Cambria" w:hAnsi="Cambria"/>
        </w:rPr>
        <w:t xml:space="preserve"> discutée avec l’interne.</w:t>
      </w:r>
    </w:p>
    <w:p w14:paraId="2D34703C" w14:textId="340C106C" w:rsidR="00F538D0" w:rsidRDefault="00715AAA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Il est recommandé de compléter le </w:t>
      </w:r>
      <w:r w:rsidRPr="005F3EFA">
        <w:rPr>
          <w:rFonts w:ascii="Cambria" w:hAnsi="Cambria"/>
        </w:rPr>
        <w:t>formulaire à l’ordinateur</w:t>
      </w:r>
      <w:r w:rsidR="00F538D0">
        <w:rPr>
          <w:rFonts w:ascii="Cambria" w:hAnsi="Cambria"/>
        </w:rPr>
        <w:t xml:space="preserve">. Vous pourrez ensuite l’enregistrer et le signer en format </w:t>
      </w:r>
      <w:r w:rsidR="000B4BE1" w:rsidRPr="00F538D0">
        <w:rPr>
          <w:rFonts w:ascii="Cambria" w:hAnsi="Cambria"/>
          <w:i/>
        </w:rPr>
        <w:t>PDF</w:t>
      </w:r>
      <w:r w:rsidR="00F538D0">
        <w:rPr>
          <w:rFonts w:ascii="Cambria" w:hAnsi="Cambria"/>
        </w:rPr>
        <w:t>. Votre signature et celle de l’interne est requise avant l’envoi de la grille à l’agente de stage</w:t>
      </w:r>
      <w:r w:rsidR="00366D3F">
        <w:rPr>
          <w:rFonts w:ascii="Cambria" w:hAnsi="Cambria"/>
        </w:rPr>
        <w:t xml:space="preserve"> </w:t>
      </w:r>
      <w:r w:rsidR="00366D3F">
        <w:rPr>
          <w:rFonts w:ascii="Cambria" w:hAnsi="Cambria"/>
        </w:rPr>
        <w:t>(</w:t>
      </w:r>
      <w:r w:rsidR="00366D3F" w:rsidRPr="00090241">
        <w:rPr>
          <w:rFonts w:ascii="Cambria" w:hAnsi="Cambria"/>
        </w:rPr>
        <w:t>stages_psychologie@uqac.ca</w:t>
      </w:r>
      <w:r w:rsidR="00366D3F">
        <w:rPr>
          <w:rFonts w:ascii="Cambria" w:hAnsi="Cambria"/>
        </w:rPr>
        <w:t>).</w:t>
      </w:r>
      <w:bookmarkStart w:id="6" w:name="_GoBack"/>
      <w:bookmarkEnd w:id="6"/>
      <w:r w:rsidR="00F538D0">
        <w:rPr>
          <w:rFonts w:ascii="Cambria" w:hAnsi="Cambria"/>
        </w:rPr>
        <w:t xml:space="preserve"> </w:t>
      </w:r>
    </w:p>
    <w:p w14:paraId="26C8DF69" w14:textId="45F91720" w:rsidR="00F57E55" w:rsidRPr="00F57E55" w:rsidRDefault="008536FC" w:rsidP="00F57E5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Le tableau en page 1 permet de faire le suivi des résultats aux 3 trimestres. Vous </w:t>
      </w:r>
      <w:r w:rsidR="00B629E7">
        <w:rPr>
          <w:rFonts w:ascii="Cambria" w:hAnsi="Cambria"/>
        </w:rPr>
        <w:t xml:space="preserve">êtes </w:t>
      </w:r>
      <w:r>
        <w:rPr>
          <w:rFonts w:ascii="Cambria" w:hAnsi="Cambria"/>
        </w:rPr>
        <w:t xml:space="preserve">ainsi </w:t>
      </w:r>
      <w:r w:rsidR="00F538D0">
        <w:rPr>
          <w:rFonts w:ascii="Cambria" w:hAnsi="Cambria"/>
        </w:rPr>
        <w:t>invité à</w:t>
      </w:r>
      <w:r w:rsidR="00B629E7">
        <w:rPr>
          <w:rFonts w:ascii="Cambria" w:hAnsi="Cambria"/>
        </w:rPr>
        <w:t xml:space="preserve"> conserver une copie Word de votre évaluation, que vous pourrez réutiliser pour garder un suivi de la progression de l’interne</w:t>
      </w:r>
      <w:r w:rsidR="000064A4">
        <w:rPr>
          <w:rFonts w:ascii="Cambria" w:hAnsi="Cambria"/>
        </w:rPr>
        <w:t xml:space="preserve"> aux 2</w:t>
      </w:r>
      <w:r w:rsidR="000064A4" w:rsidRPr="000064A4">
        <w:rPr>
          <w:rFonts w:ascii="Cambria" w:hAnsi="Cambria"/>
          <w:vertAlign w:val="superscript"/>
        </w:rPr>
        <w:t>e</w:t>
      </w:r>
      <w:r w:rsidR="000064A4">
        <w:rPr>
          <w:rFonts w:ascii="Cambria" w:hAnsi="Cambria"/>
        </w:rPr>
        <w:t xml:space="preserve"> et 3</w:t>
      </w:r>
      <w:r w:rsidR="000064A4" w:rsidRPr="000064A4">
        <w:rPr>
          <w:rFonts w:ascii="Cambria" w:hAnsi="Cambria"/>
          <w:vertAlign w:val="superscript"/>
        </w:rPr>
        <w:t>e</w:t>
      </w:r>
      <w:r w:rsidR="000064A4">
        <w:rPr>
          <w:rFonts w:ascii="Cambria" w:hAnsi="Cambria"/>
        </w:rPr>
        <w:t xml:space="preserve"> trimestres</w:t>
      </w:r>
      <w:r w:rsidR="00B629E7">
        <w:rPr>
          <w:rFonts w:ascii="Cambria" w:hAnsi="Cambria"/>
        </w:rPr>
        <w:t xml:space="preserve">. Cette façon de faire facilite la cohérence entre les évaluations et permet à l’étudiant de voir </w:t>
      </w:r>
      <w:r w:rsidR="000064A4">
        <w:rPr>
          <w:rFonts w:ascii="Cambria" w:hAnsi="Cambria"/>
        </w:rPr>
        <w:t>sa progression</w:t>
      </w:r>
      <w:r>
        <w:rPr>
          <w:rFonts w:ascii="Cambria" w:hAnsi="Cambria"/>
        </w:rPr>
        <w:t xml:space="preserve"> et les points à travailler</w:t>
      </w:r>
      <w:r w:rsidR="00B629E7">
        <w:rPr>
          <w:rFonts w:ascii="Cambria" w:hAnsi="Cambria"/>
        </w:rPr>
        <w:t xml:space="preserve">. </w:t>
      </w:r>
    </w:p>
    <w:sectPr w:rsidR="00F57E55" w:rsidRPr="00F57E55" w:rsidSect="008F4060">
      <w:type w:val="continuous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0F2F" w14:textId="77777777" w:rsidR="00217D59" w:rsidRDefault="00217D59" w:rsidP="00217D59">
      <w:pPr>
        <w:spacing w:after="0" w:line="240" w:lineRule="auto"/>
      </w:pPr>
      <w:r>
        <w:separator/>
      </w:r>
    </w:p>
  </w:endnote>
  <w:endnote w:type="continuationSeparator" w:id="0">
    <w:p w14:paraId="02413BC4" w14:textId="77777777" w:rsidR="00217D59" w:rsidRDefault="00217D59" w:rsidP="0021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EF7CB" w14:textId="77777777" w:rsidR="00217D59" w:rsidRDefault="00217D59" w:rsidP="00217D59">
      <w:pPr>
        <w:spacing w:after="0" w:line="240" w:lineRule="auto"/>
      </w:pPr>
      <w:r>
        <w:separator/>
      </w:r>
    </w:p>
  </w:footnote>
  <w:footnote w:type="continuationSeparator" w:id="0">
    <w:p w14:paraId="386F96F9" w14:textId="77777777" w:rsidR="00217D59" w:rsidRDefault="00217D59" w:rsidP="00217D59">
      <w:pPr>
        <w:spacing w:after="0" w:line="240" w:lineRule="auto"/>
      </w:pPr>
      <w:r>
        <w:continuationSeparator/>
      </w:r>
    </w:p>
  </w:footnote>
  <w:footnote w:id="1">
    <w:p w14:paraId="43CDE97E" w14:textId="043F8CDC" w:rsidR="00933563" w:rsidRDefault="0093356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91730D">
          <w:rPr>
            <w:rStyle w:val="Lienhypertexte"/>
          </w:rPr>
          <w:t>https://www.ordrepsy.qc.ca/documents/26707/216048/Manuel+d%E2%80%99%C3%A9valuation+des+programmes+de+doctorat+en+psychologie/449cdb65-1a29-48cf-89b9-6708d1653ef7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31EAC"/>
    <w:multiLevelType w:val="hybridMultilevel"/>
    <w:tmpl w:val="09CC1E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DD6"/>
    <w:multiLevelType w:val="hybridMultilevel"/>
    <w:tmpl w:val="888010A4"/>
    <w:lvl w:ilvl="0" w:tplc="D730C4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F0A8D"/>
    <w:multiLevelType w:val="hybridMultilevel"/>
    <w:tmpl w:val="9D2293B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2"/>
    <w:rsid w:val="000064A4"/>
    <w:rsid w:val="000213F5"/>
    <w:rsid w:val="00053D1F"/>
    <w:rsid w:val="000B4BE1"/>
    <w:rsid w:val="00123192"/>
    <w:rsid w:val="001B32C1"/>
    <w:rsid w:val="0021602E"/>
    <w:rsid w:val="00217D59"/>
    <w:rsid w:val="0027541A"/>
    <w:rsid w:val="002A0897"/>
    <w:rsid w:val="00366D3F"/>
    <w:rsid w:val="003A3820"/>
    <w:rsid w:val="003C69FE"/>
    <w:rsid w:val="0044404C"/>
    <w:rsid w:val="004F01F2"/>
    <w:rsid w:val="00546708"/>
    <w:rsid w:val="005A5879"/>
    <w:rsid w:val="005A6D32"/>
    <w:rsid w:val="005B3AF2"/>
    <w:rsid w:val="005C0E73"/>
    <w:rsid w:val="005C16EE"/>
    <w:rsid w:val="005E227B"/>
    <w:rsid w:val="005F3EFA"/>
    <w:rsid w:val="00653AA4"/>
    <w:rsid w:val="007153A8"/>
    <w:rsid w:val="00715AAA"/>
    <w:rsid w:val="00734BB0"/>
    <w:rsid w:val="00762271"/>
    <w:rsid w:val="00766EB1"/>
    <w:rsid w:val="008536FC"/>
    <w:rsid w:val="00886F41"/>
    <w:rsid w:val="008C7118"/>
    <w:rsid w:val="008E0B8E"/>
    <w:rsid w:val="008F4060"/>
    <w:rsid w:val="00933563"/>
    <w:rsid w:val="00A43E28"/>
    <w:rsid w:val="00A83C5C"/>
    <w:rsid w:val="00AC439E"/>
    <w:rsid w:val="00AF601A"/>
    <w:rsid w:val="00B629E7"/>
    <w:rsid w:val="00C658C5"/>
    <w:rsid w:val="00D922F0"/>
    <w:rsid w:val="00E21336"/>
    <w:rsid w:val="00E60D33"/>
    <w:rsid w:val="00E73A9F"/>
    <w:rsid w:val="00EA6378"/>
    <w:rsid w:val="00F10FF7"/>
    <w:rsid w:val="00F31D51"/>
    <w:rsid w:val="00F538D0"/>
    <w:rsid w:val="00F57E55"/>
    <w:rsid w:val="00F57FD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2A3F"/>
  <w15:chartTrackingRefBased/>
  <w15:docId w15:val="{EFEF46E1-E288-4FDA-A502-DC8FF8B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7D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D59"/>
  </w:style>
  <w:style w:type="paragraph" w:styleId="Pieddepage">
    <w:name w:val="footer"/>
    <w:basedOn w:val="Normal"/>
    <w:link w:val="PieddepageCar"/>
    <w:uiPriority w:val="99"/>
    <w:unhideWhenUsed/>
    <w:rsid w:val="00217D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D59"/>
  </w:style>
  <w:style w:type="paragraph" w:styleId="Sansinterligne">
    <w:name w:val="No Spacing"/>
    <w:uiPriority w:val="1"/>
    <w:qFormat/>
    <w:rsid w:val="00F57E55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57E55"/>
    <w:rPr>
      <w:b/>
      <w:bCs/>
    </w:rPr>
  </w:style>
  <w:style w:type="character" w:styleId="Lienhypertexte">
    <w:name w:val="Hyperlink"/>
    <w:basedOn w:val="Policepardfaut"/>
    <w:uiPriority w:val="99"/>
    <w:unhideWhenUsed/>
    <w:rsid w:val="00F57E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5A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133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F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57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7F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7F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7F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7FD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FD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0D3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E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E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3EFA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5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3356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i.ulaval.ca/fileadmin/media/Coffre_a_outils/CIHC_IPCompetencies-FrR_Sep71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psy.qc.ca/documents/26707/216048/Manuel+d%E2%80%99%C3%A9valuation+des+programmes+de+doctorat+en+psychologie/449cdb65-1a29-48cf-89b9-6708d1653ef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7AC58E42C04FA37C7BE7CBDFAF84" ma:contentTypeVersion="35" ma:contentTypeDescription="Crée un document." ma:contentTypeScope="" ma:versionID="b79a37e806641917d8e75c97f7e878d6">
  <xsd:schema xmlns:xsd="http://www.w3.org/2001/XMLSchema" xmlns:xs="http://www.w3.org/2001/XMLSchema" xmlns:p="http://schemas.microsoft.com/office/2006/metadata/properties" xmlns:ns3="b77c5c59-d42d-49e8-b6ed-0f8ac9e254e3" xmlns:ns4="5bdf7f86-cfad-41c5-8ddb-81648100ab44" targetNamespace="http://schemas.microsoft.com/office/2006/metadata/properties" ma:root="true" ma:fieldsID="70c5e7f936055d51ee4cfaa203a88dea" ns3:_="" ns4:_="">
    <xsd:import namespace="b77c5c59-d42d-49e8-b6ed-0f8ac9e254e3"/>
    <xsd:import namespace="5bdf7f86-cfad-41c5-8ddb-81648100a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5c59-d42d-49e8-b6ed-0f8ac9e2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f86-cfad-41c5-8ddb-81648100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77c5c59-d42d-49e8-b6ed-0f8ac9e254e3" xsi:nil="true"/>
    <NotebookType xmlns="b77c5c59-d42d-49e8-b6ed-0f8ac9e254e3" xsi:nil="true"/>
    <Leaders xmlns="b77c5c59-d42d-49e8-b6ed-0f8ac9e254e3">
      <UserInfo>
        <DisplayName/>
        <AccountId xsi:nil="true"/>
        <AccountType/>
      </UserInfo>
    </Leaders>
    <Member_Groups xmlns="b77c5c59-d42d-49e8-b6ed-0f8ac9e254e3">
      <UserInfo>
        <DisplayName/>
        <AccountId xsi:nil="true"/>
        <AccountType/>
      </UserInfo>
    </Member_Groups>
    <LMS_Mappings xmlns="b77c5c59-d42d-49e8-b6ed-0f8ac9e254e3" xsi:nil="true"/>
    <Distribution_Groups xmlns="b77c5c59-d42d-49e8-b6ed-0f8ac9e254e3" xsi:nil="true"/>
    <Templates xmlns="b77c5c59-d42d-49e8-b6ed-0f8ac9e254e3" xsi:nil="true"/>
    <Members xmlns="b77c5c59-d42d-49e8-b6ed-0f8ac9e254e3">
      <UserInfo>
        <DisplayName/>
        <AccountId xsi:nil="true"/>
        <AccountType/>
      </UserInfo>
    </Members>
    <Self_Registration_Enabled xmlns="b77c5c59-d42d-49e8-b6ed-0f8ac9e254e3" xsi:nil="true"/>
    <Has_Leaders_Only_SectionGroup xmlns="b77c5c59-d42d-49e8-b6ed-0f8ac9e254e3" xsi:nil="true"/>
    <_activity xmlns="b77c5c59-d42d-49e8-b6ed-0f8ac9e254e3" xsi:nil="true"/>
    <Invited_Members xmlns="b77c5c59-d42d-49e8-b6ed-0f8ac9e254e3" xsi:nil="true"/>
    <Invited_Leaders xmlns="b77c5c59-d42d-49e8-b6ed-0f8ac9e254e3" xsi:nil="true"/>
    <IsNotebookLocked xmlns="b77c5c59-d42d-49e8-b6ed-0f8ac9e254e3" xsi:nil="true"/>
    <CultureName xmlns="b77c5c59-d42d-49e8-b6ed-0f8ac9e254e3" xsi:nil="true"/>
    <AppVersion xmlns="b77c5c59-d42d-49e8-b6ed-0f8ac9e254e3" xsi:nil="true"/>
    <TeamsChannelId xmlns="b77c5c59-d42d-49e8-b6ed-0f8ac9e254e3" xsi:nil="true"/>
    <FolderType xmlns="b77c5c59-d42d-49e8-b6ed-0f8ac9e254e3" xsi:nil="true"/>
    <Is_Collaboration_Space_Locked xmlns="b77c5c59-d42d-49e8-b6ed-0f8ac9e254e3" xsi:nil="true"/>
    <Teams_Channel_Section_Location xmlns="b77c5c59-d42d-49e8-b6ed-0f8ac9e254e3" xsi:nil="true"/>
    <Owner xmlns="b77c5c59-d42d-49e8-b6ed-0f8ac9e254e3">
      <UserInfo>
        <DisplayName/>
        <AccountId xsi:nil="true"/>
        <AccountType/>
      </UserInfo>
    </Owner>
    <Math_Settings xmlns="b77c5c59-d42d-49e8-b6ed-0f8ac9e25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1BBF-3952-4A4D-B535-5213F173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5c59-d42d-49e8-b6ed-0f8ac9e254e3"/>
    <ds:schemaRef ds:uri="5bdf7f86-cfad-41c5-8ddb-81648100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7ED8B-B6E3-4E66-89F6-55FBD548730E}">
  <ds:schemaRefs>
    <ds:schemaRef ds:uri="b77c5c59-d42d-49e8-b6ed-0f8ac9e254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df7f86-cfad-41c5-8ddb-81648100ab4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8C382-FAE5-4BE2-8CA9-EECB46732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4C92C-C0CE-4252-B282-5B5CC849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Fortier</dc:creator>
  <cp:keywords/>
  <dc:description/>
  <cp:lastModifiedBy>Martine Fortier</cp:lastModifiedBy>
  <cp:revision>32</cp:revision>
  <dcterms:created xsi:type="dcterms:W3CDTF">2023-04-25T19:56:00Z</dcterms:created>
  <dcterms:modified xsi:type="dcterms:W3CDTF">2023-07-06T19:43:00Z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0x01010010997AC58E42C04FA37C7BE7CBDFAF84</vt:lpwstr>
  </property>
</Properties>
</file>